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160" w:line="259"/>
        <w:ind w:right="0" w:left="0" w:firstLine="0"/>
        <w:jc w:val="righ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31 </w:t>
      </w:r>
      <w:r>
        <w:rPr>
          <w:rFonts w:ascii="Calibri" w:hAnsi="Calibri" w:cs="Calibri" w:eastAsia="Calibri"/>
          <w:color w:val="auto"/>
          <w:spacing w:val="0"/>
          <w:position w:val="0"/>
          <w:sz w:val="24"/>
          <w:shd w:fill="auto" w:val="clear"/>
        </w:rPr>
        <w:t xml:space="preserve">Μαρτίου 2023</w:t>
      </w:r>
    </w:p>
    <w:p>
      <w:pPr>
        <w:widowControl w:val="false"/>
        <w:suppressAutoHyphens w:val="true"/>
        <w:spacing w:before="0" w:after="160" w:line="259"/>
        <w:ind w:right="0" w:left="0" w:firstLine="0"/>
        <w:jc w:val="center"/>
        <w:rPr>
          <w:rFonts w:ascii="Calibri" w:hAnsi="Calibri" w:cs="Calibri" w:eastAsia="Calibri"/>
          <w:b/>
          <w:color w:val="auto"/>
          <w:spacing w:val="0"/>
          <w:position w:val="0"/>
          <w:sz w:val="24"/>
          <w:shd w:fill="auto" w:val="clear"/>
        </w:rPr>
      </w:pPr>
    </w:p>
    <w:p>
      <w:pPr>
        <w:widowControl w:val="false"/>
        <w:suppressAutoHyphens w:val="true"/>
        <w:spacing w:before="0" w:after="160" w:line="259"/>
        <w:ind w:right="0" w:left="0" w:firstLine="0"/>
        <w:jc w:val="center"/>
        <w:rPr>
          <w:rFonts w:ascii="Calibri" w:hAnsi="Calibri" w:cs="Calibri" w:eastAsia="Calibri"/>
          <w:b/>
          <w:color w:val="auto"/>
          <w:spacing w:val="0"/>
          <w:position w:val="0"/>
          <w:sz w:val="24"/>
          <w:shd w:fill="auto" w:val="clear"/>
        </w:rPr>
      </w:pPr>
    </w:p>
    <w:p>
      <w:pPr>
        <w:widowControl w:val="false"/>
        <w:suppressAutoHyphens w:val="true"/>
        <w:spacing w:before="0" w:after="160" w:line="259"/>
        <w:ind w:right="0" w:left="0" w:firstLine="0"/>
        <w:jc w:val="center"/>
        <w:rPr>
          <w:rFonts w:ascii="Calibri" w:hAnsi="Calibri" w:cs="Calibri" w:eastAsia="Calibri"/>
          <w:b/>
          <w:color w:val="auto"/>
          <w:spacing w:val="0"/>
          <w:position w:val="0"/>
          <w:sz w:val="24"/>
          <w:shd w:fill="auto" w:val="clear"/>
        </w:rPr>
      </w:pPr>
    </w:p>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Παράδειγμα 1: δάνειο 100.000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διάρκεια αποπληρωμής 30 χρόνια</w:t>
      </w:r>
    </w:p>
    <w:tbl>
      <w:tblPr/>
      <w:tblGrid>
        <w:gridCol w:w="2130"/>
        <w:gridCol w:w="2130"/>
        <w:gridCol w:w="2131"/>
        <w:gridCol w:w="2130"/>
      </w:tblGrid>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z w:val="22"/>
                <w:shd w:fill="auto" w:val="clear"/>
              </w:rPr>
            </w:pP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Εμπορικό</w:t>
            </w:r>
          </w:p>
          <w:p>
            <w:pPr>
              <w:widowControl w:val="false"/>
              <w:suppressAutoHyphens w:val="true"/>
              <w:spacing w:before="0" w:after="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δάνειο</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Πρόγραμμα</w:t>
            </w:r>
          </w:p>
          <w:p>
            <w:pPr>
              <w:widowControl w:val="false"/>
              <w:suppressAutoHyphens w:val="true"/>
              <w:spacing w:before="0" w:after="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Σπίτι μου</w:t>
            </w:r>
            <w:r>
              <w:rPr>
                <w:rFonts w:ascii="Calibri" w:hAnsi="Calibri" w:cs="Calibri" w:eastAsia="Calibri"/>
                <w:b/>
                <w:color w:val="auto"/>
                <w:spacing w:val="0"/>
                <w:position w:val="0"/>
                <w:sz w:val="24"/>
                <w:shd w:fill="auto" w:val="clear"/>
              </w:rPr>
              <w:t xml:space="preserve">»</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Πρόγραμμα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Σπίτι μου</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τρίτεκνοι, πολύτεκνοι)</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Ύψος δανείου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100.000</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100.000</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100.000</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Διάρκεια (μήνες)</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360</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360</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360</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Euribor 3</w:t>
            </w:r>
            <w:r>
              <w:rPr>
                <w:rFonts w:ascii="Calibri" w:hAnsi="Calibri" w:cs="Calibri" w:eastAsia="Calibri"/>
                <w:b/>
                <w:color w:val="auto"/>
                <w:spacing w:val="0"/>
                <w:position w:val="0"/>
                <w:sz w:val="24"/>
                <w:shd w:fill="auto" w:val="clear"/>
              </w:rPr>
              <w:t xml:space="preserve">μήνου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3,012%</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3,012%</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3,012%</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Spread </w:t>
            </w:r>
            <w:r>
              <w:rPr>
                <w:rFonts w:ascii="Calibri" w:hAnsi="Calibri" w:cs="Calibri" w:eastAsia="Calibri"/>
                <w:b/>
                <w:color w:val="auto"/>
                <w:spacing w:val="0"/>
                <w:position w:val="0"/>
                <w:sz w:val="24"/>
                <w:shd w:fill="auto" w:val="clear"/>
              </w:rPr>
              <w:t xml:space="preserve">επιτοκίου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Τελικό επιτόκιο</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5,812%</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1,453%</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Δόση δανείου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587,52 €</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342,87 €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277,78 €</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Μηνιαία Εξοικονόμηση</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z w:val="22"/>
                <w:shd w:fill="auto" w:val="clear"/>
              </w:rPr>
            </w:pP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244,65 €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309,74 €</w:t>
            </w:r>
          </w:p>
        </w:tc>
      </w:tr>
    </w:tbl>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Για το ίδιο δάνειο με διάρκεια αποπληρωμής 20 χρόνια η μηνιαία δόση είναι 705,63 ευρώ και περιορίζεται αντίστοιχα με το πρόγραμμα στα 480,39 ευρώ (όφελος 225,24 ευρώ ή 2.702 ευρώ το χρόνο. Για τρίτεκνους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πολύτεκνους η δόση μειώνεται στα 416,67 ευρώ (όφελος 288,96 ευρώ ή 3.467,52 ευρώ το χρόνο).</w:t>
      </w:r>
    </w:p>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Παράδειγμα 2: δάνειο 100.000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διάρκεια αποπληρωμής 20 χρόνια</w:t>
      </w:r>
    </w:p>
    <w:tbl>
      <w:tblPr/>
      <w:tblGrid>
        <w:gridCol w:w="2130"/>
        <w:gridCol w:w="2130"/>
        <w:gridCol w:w="2131"/>
        <w:gridCol w:w="2130"/>
      </w:tblGrid>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z w:val="22"/>
                <w:shd w:fill="auto" w:val="clear"/>
              </w:rPr>
            </w:pP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Εμπορικό</w:t>
            </w:r>
          </w:p>
          <w:p>
            <w:pPr>
              <w:widowControl w:val="false"/>
              <w:suppressAutoHyphens w:val="true"/>
              <w:spacing w:before="0" w:after="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δάνειο</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Πρόγραμμα</w:t>
            </w:r>
          </w:p>
          <w:p>
            <w:pPr>
              <w:widowControl w:val="false"/>
              <w:suppressAutoHyphens w:val="true"/>
              <w:spacing w:before="0" w:after="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Σπίτι μου</w:t>
            </w:r>
            <w:r>
              <w:rPr>
                <w:rFonts w:ascii="Calibri" w:hAnsi="Calibri" w:cs="Calibri" w:eastAsia="Calibri"/>
                <w:b/>
                <w:color w:val="auto"/>
                <w:spacing w:val="0"/>
                <w:position w:val="0"/>
                <w:sz w:val="24"/>
                <w:shd w:fill="auto" w:val="clear"/>
              </w:rPr>
              <w:t xml:space="preserve">»</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Πρόγραμμα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Σπίτι μου</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τρίτεκνοι, πολύτεκνοι)</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Ύψος δανείου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100.000</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100.000</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100.000</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Διάρκεια (μήνες)</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240</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240</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240</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Euribor 3</w:t>
            </w:r>
            <w:r>
              <w:rPr>
                <w:rFonts w:ascii="Calibri" w:hAnsi="Calibri" w:cs="Calibri" w:eastAsia="Calibri"/>
                <w:b/>
                <w:color w:val="auto"/>
                <w:spacing w:val="0"/>
                <w:position w:val="0"/>
                <w:sz w:val="24"/>
                <w:shd w:fill="auto" w:val="clear"/>
              </w:rPr>
              <w:t xml:space="preserve">μήνου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3,012%</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3,012%</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3,012%</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Spread </w:t>
            </w:r>
            <w:r>
              <w:rPr>
                <w:rFonts w:ascii="Calibri" w:hAnsi="Calibri" w:cs="Calibri" w:eastAsia="Calibri"/>
                <w:b/>
                <w:color w:val="auto"/>
                <w:spacing w:val="0"/>
                <w:position w:val="0"/>
                <w:sz w:val="24"/>
                <w:shd w:fill="auto" w:val="clear"/>
              </w:rPr>
              <w:t xml:space="preserve">επιτοκίου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Τελικό επιτόκιο</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5,812%</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1,453%</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Δόση δανείου</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705,63 €</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480,39 €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416,67 €</w:t>
            </w:r>
          </w:p>
        </w:tc>
      </w:tr>
      <w:tr>
        <w:trPr>
          <w:trHeight w:val="1" w:hRule="atLeast"/>
          <w:jc w:val="left"/>
        </w:trPr>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Μηνιαία Εξοικονόμηση</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z w:val="22"/>
                <w:shd w:fill="auto" w:val="clear"/>
              </w:rPr>
            </w:pP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225,24 €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288,96 €</w:t>
            </w:r>
          </w:p>
        </w:tc>
      </w:tr>
    </w:tbl>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tabs>
          <w:tab w:val="left" w:pos="720" w:leader="none"/>
          <w:tab w:val="left" w:pos="2129" w:leader="none"/>
        </w:tabs>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tabs>
          <w:tab w:val="left" w:pos="720" w:leader="none"/>
          <w:tab w:val="left" w:pos="2129" w:leader="none"/>
        </w:tabs>
        <w:suppressAutoHyphens w:val="true"/>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Στο πρόγραμμα συμμετέχουν οι τράπεζες Εθνική, Πειραιώς, Alpha, Eurobank, Attica Bank, Παγκρήτια, καθώς και οι Συνεταιριστικές Τράπεζες Ηπείρου, Θεσσαλίας, Καρδίτσας και Χανίων, οι οποίες ανακοίνωσαν τα αρχικά επιτόκια χορήγησης των επιδοτούμενων δανείων ως εξής:</w:t>
      </w:r>
    </w:p>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tbl>
      <w:tblPr/>
      <w:tblGrid>
        <w:gridCol w:w="2072"/>
        <w:gridCol w:w="2072"/>
        <w:gridCol w:w="2073"/>
        <w:gridCol w:w="2072"/>
      </w:tblGrid>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Σταθερό επιτόκιο</w:t>
            </w: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Κυμαινόμενο επιτόκιο</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Περιθώριο</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Alpha Bank</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3M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Eurobank</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3M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Εθνική</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3M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2%-2,5%</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Τράπεζα Πειραιώς</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1M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Παγκρήτια</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3M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Συνεταιριστική Τράπεζα Ηπείρου</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3M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2%-3,5%</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Συνεταιριστική Τράπεζα Θεσσαλίας</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1M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Συνεταιριστική Τράπεζα Καρδίτσας</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Συνεταιριστική Τράπεζα Χανίων</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3M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1,5%-4,9%</w:t>
            </w:r>
          </w:p>
        </w:tc>
      </w:tr>
      <w:tr>
        <w:trPr>
          <w:trHeight w:val="1" w:hRule="atLeast"/>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Attica Bank</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p>
        </w:tc>
        <w:tc>
          <w:tcPr>
            <w:tcW w:w="2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Euribor 3M</w:t>
            </w:r>
          </w:p>
        </w:tc>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uppressAutoHyphens w:val="true"/>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w:t>
            </w:r>
          </w:p>
        </w:tc>
      </w:tr>
    </w:tbl>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160" w:line="259"/>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0" w:firstLine="0"/>
        <w:jc w:val="righ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