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Ind w:w="108" w:type="dxa"/>
      </w:tblPr>
      <w:tblGrid>
        <w:gridCol w:w="3369"/>
        <w:gridCol w:w="5917"/>
      </w:tblGrid>
      <w:tr>
        <w:trPr>
          <w:trHeight w:val="1757" w:hRule="auto"/>
          <w:jc w:val="left"/>
        </w:trPr>
        <w:tc>
          <w:tcPr>
            <w:tcW w:w="3369" w:type="dxa"/>
            <w:tcBorders>
              <w:top w:val="single" w:color="000000" w:sz="0"/>
              <w:left w:val="single" w:color="bc9e6e" w:sz="48"/>
              <w:bottom w:val="single" w:color="000000" w:sz="0"/>
              <w:right w:val="single" w:color="000000" w:sz="0"/>
            </w:tcBorders>
            <w:shd w:color="auto" w:fill="auto" w:val="clear"/>
            <w:tcMar>
              <w:left w:w="108" w:type="dxa"/>
              <w:right w:w="108" w:type="dxa"/>
            </w:tcMar>
            <w:vAlign w:val="center"/>
          </w:tcPr>
          <w:p>
            <w:pPr>
              <w:tabs>
                <w:tab w:val="left" w:pos="4680" w:leader="none"/>
                <w:tab w:val="left" w:pos="8100" w:leader="none"/>
              </w:tabs>
              <w:spacing w:before="60" w:after="0" w:line="240"/>
              <w:ind w:right="142" w:left="0" w:firstLine="142"/>
              <w:jc w:val="left"/>
              <w:rPr>
                <w:rFonts w:ascii="Calibri" w:hAnsi="Calibri" w:cs="Calibri" w:eastAsia="Calibri"/>
                <w:color w:val="auto"/>
                <w:spacing w:val="0"/>
                <w:position w:val="0"/>
                <w:sz w:val="22"/>
                <w:shd w:fill="auto" w:val="clear"/>
              </w:rPr>
            </w:pPr>
            <w:r>
              <w:object w:dxaOrig="2450" w:dyaOrig="1319">
                <v:rect xmlns:o="urn:schemas-microsoft-com:office:office" xmlns:v="urn:schemas-microsoft-com:vml" id="rectole0000000000" style="width:122.500000pt;height:65.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c>
          <w:tcPr>
            <w:tcW w:w="59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360"/>
              <w:ind w:right="0" w:left="0" w:firstLine="720"/>
              <w:jc w:val="right"/>
              <w:rPr>
                <w:rFonts w:ascii="Arial" w:hAnsi="Arial" w:cs="Arial" w:eastAsia="Arial"/>
                <w:b/>
                <w:color w:val="000000"/>
                <w:spacing w:val="0"/>
                <w:position w:val="0"/>
                <w:sz w:val="32"/>
                <w:u w:val="single"/>
                <w:shd w:fill="auto" w:val="clear"/>
              </w:rPr>
            </w:pPr>
          </w:p>
          <w:p>
            <w:pPr>
              <w:keepNext w:val="true"/>
              <w:spacing w:before="0" w:after="0" w:line="360"/>
              <w:ind w:right="0" w:left="0" w:firstLine="720"/>
              <w:jc w:val="right"/>
              <w:rPr>
                <w:rFonts w:ascii="Arial" w:hAnsi="Arial" w:cs="Arial" w:eastAsia="Arial"/>
                <w:b/>
                <w:color w:val="00205B"/>
                <w:spacing w:val="0"/>
                <w:position w:val="0"/>
                <w:sz w:val="28"/>
                <w:u w:val="single"/>
                <w:shd w:fill="auto" w:val="clear"/>
              </w:rPr>
            </w:pPr>
            <w:r>
              <w:rPr>
                <w:rFonts w:ascii="Arial" w:hAnsi="Arial" w:cs="Arial" w:eastAsia="Arial"/>
                <w:b/>
                <w:color w:val="00205B"/>
                <w:spacing w:val="0"/>
                <w:position w:val="0"/>
                <w:sz w:val="28"/>
                <w:u w:val="single"/>
                <w:shd w:fill="auto" w:val="clear"/>
              </w:rPr>
              <w:t xml:space="preserve">ΔΕΛΤΙΟ ΤΥΠΟΥ </w:t>
            </w:r>
          </w:p>
          <w:p>
            <w:pPr>
              <w:keepNext w:val="true"/>
              <w:spacing w:before="0" w:after="0" w:line="360"/>
              <w:ind w:right="0" w:left="0" w:firstLine="0"/>
              <w:jc w:val="right"/>
              <w:rPr>
                <w:spacing w:val="0"/>
                <w:position w:val="0"/>
                <w:shd w:fill="auto" w:val="clear"/>
              </w:rPr>
            </w:pPr>
            <w:r>
              <w:rPr>
                <w:rFonts w:ascii="Arial" w:hAnsi="Arial" w:cs="Arial" w:eastAsia="Arial"/>
                <w:color w:val="00205B"/>
                <w:spacing w:val="0"/>
                <w:position w:val="0"/>
                <w:sz w:val="22"/>
                <w:u w:val="single"/>
                <w:shd w:fill="auto" w:val="clear"/>
              </w:rPr>
              <w:t xml:space="preserve">Αθήνα, 26 Ιουνίου 2024</w:t>
            </w:r>
          </w:p>
        </w:tc>
      </w:tr>
    </w:tbl>
    <w:p>
      <w:pPr>
        <w:keepNext w:val="true"/>
        <w:spacing w:before="0" w:after="0" w:line="360"/>
        <w:ind w:right="0" w:left="0" w:firstLine="0"/>
        <w:jc w:val="center"/>
        <w:rPr>
          <w:rFonts w:ascii="Arial" w:hAnsi="Arial" w:cs="Arial" w:eastAsia="Arial"/>
          <w:color w:val="000000"/>
          <w:spacing w:val="0"/>
          <w:position w:val="0"/>
          <w:sz w:val="22"/>
          <w:u w:val="single"/>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keepNext w:val="true"/>
        <w:tabs>
          <w:tab w:val="left" w:pos="4680" w:leader="none"/>
          <w:tab w:val="left" w:pos="8100" w:leader="none"/>
        </w:tabs>
        <w:spacing w:before="0" w:after="120" w:line="276"/>
        <w:ind w:right="-2" w:left="0" w:firstLine="0"/>
        <w:jc w:val="both"/>
        <w:rPr>
          <w:rFonts w:ascii="Arial" w:hAnsi="Arial" w:cs="Arial" w:eastAsia="Arial"/>
          <w:b/>
          <w:color w:val="00205B"/>
          <w:spacing w:val="0"/>
          <w:position w:val="0"/>
          <w:sz w:val="32"/>
          <w:shd w:fill="auto" w:val="clear"/>
        </w:rPr>
      </w:pPr>
      <w:r>
        <w:rPr>
          <w:rFonts w:ascii="Arial" w:hAnsi="Arial" w:cs="Arial" w:eastAsia="Arial"/>
          <w:b/>
          <w:color w:val="00205B"/>
          <w:spacing w:val="0"/>
          <w:position w:val="0"/>
          <w:sz w:val="32"/>
          <w:shd w:fill="auto" w:val="clear"/>
        </w:rPr>
        <w:t xml:space="preserve">Έκθεση της Τράπεζας της Ελλάδος για τη Νομισματική Πολιτική 2023-2024 </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120" w:after="240" w:line="360"/>
        <w:ind w:right="0" w:left="0" w:firstLine="0"/>
        <w:jc w:val="both"/>
        <w:rPr>
          <w:rFonts w:ascii="Arial" w:hAnsi="Arial" w:cs="Arial" w:eastAsia="Arial"/>
          <w:i/>
          <w:color w:val="000000"/>
          <w:spacing w:val="0"/>
          <w:position w:val="0"/>
          <w:sz w:val="22"/>
          <w:shd w:fill="auto" w:val="clear"/>
        </w:rPr>
      </w:pPr>
      <w:r>
        <w:rPr>
          <w:rFonts w:ascii="Arial" w:hAnsi="Arial" w:cs="Arial" w:eastAsia="Arial"/>
          <w:i/>
          <w:color w:val="000000"/>
          <w:spacing w:val="0"/>
          <w:position w:val="0"/>
          <w:sz w:val="22"/>
          <w:shd w:fill="auto" w:val="clear"/>
        </w:rPr>
        <w:t xml:space="preserve">Υποβλήθηκε σήμερα στον Πρόεδρο της Βουλής των Ελλήνων και το Υπουργικό Συμβούλιο η Έκθεση της Τράπεζας της Ελλάδος για τη Νομισματική Πολιτική 2023-2024, σύμφωνα με όσα προβλέπει το Καταστατικό της.</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Διατήρηση της αναπτυξιακής δυναμικής, υποχώρηση του πληθωρισμού, αποκλιμάκωση του δημόσιου χρέους ως ποσοστού του ΑΕΠ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παγκόσμια οικονομία το 2023 αποδείχθηκε ανθεκτικότερη των προσδοκιών, παρά την αυστηροποίηση της νομισματικής πολιτικής για την καταπολέμηση του υψηλού πληθωρισμού και τη σταδιακή απόσυρση των έκτακτων δημοσιονομικών μέτρων στήριξης των εισοδημάτων. Μεταξύ των προηγμένων οικονομιών οι εξελίξεις υπήρξαν αποκλίνουσες το 2023 και στις αρχές του 2024. Η αξιοπιστία της νομισματικής πολιτικής ως προς την επίτευξη του στόχου για τον πληθωρισμό και η ταχεία ανάκαμψη της συνολικής προσφοράς μετά την πανδημική και την ενεργειακή κρίση επέτρεψαν την υποχώρηση του πληθωρισμού από τα μέσα περίπου του 2022 και έπειτα. Η οικονομία της ευρωζώνης ανέκαμψε το α΄ τρίμηνο του 2024 μετά από την αρνητική επίδοση του δ΄ τριμήνου του 2023. Ο γενικός πληθωρισμός και ο πυρήνας του πληθωρισμού εξακολούθησαν κατά τους πρώτους μήνες του 2024 να αποκλιμακώνονται, ενώ οι προσδοκίες για τον πληθωρισμό έχουν μειωθεί σε μεσοπρόθεσμο και μακροπρόθεσμο ορίζοντα. Ως εκ τούτου, τον Ιούνιο του 2024 το Διοικητικό Συμβούλιο της Ευρωπαϊκής Κεντρικής Τράπεζας (ΕΚΤ) αποφάσισε να μειώσει τα τρία βασικά επιτόκια πολιτικής κατά 25 μονάδες βάσης. Ωστόσο, επισήμανε ότι θα διατηρήσει τα επιτόκια πολιτικής επαρκώς περιοριστικά για όσο χρονικό διάστημα κρίνεται απαραίτητο προκειμένου να διασφαλίσει ότι ο πληθωρισμός θα επανέλθει στο στόχο του 2% μεσοπρόθεσμα.</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Στο πλαίσιο αυτό, η ελληνική οικονομία συνεχίζει να αναπτύσσεται και στη διάρκεια του 2024 με ικανοποιητικό ρυθμό. Ο γενικός πληθωρισμός εξακολουθεί να επιβραδύνεται, ενώ η αγορά εργασίας διατηρεί τη δυναμική της και τα δημοσιονομικά μεγέθη βελτιώνονται. </w:t>
      </w:r>
    </w:p>
    <w:p>
      <w:pPr>
        <w:spacing w:before="120" w:after="0" w:line="36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Πραγματική οικονομία: Συνεχίζεται η αναπτυξιακή δυναμική, παρά την εξασθένηση του εξωτερικού τομέα</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Το α΄ τρίμηνο του 2024, σε σχέση με το αντίστοιχο τρίμηνο του 2023,  ο ρυθμός ανάπτυξης της οικονομίας ήταν 2,1%. Βασικές συνιστώσες της ανάπτυξης ήταν η ιδιωτική κατανάλωση και σε μικρότερο βαθμό οι επενδύσεις, ενώ η δημόσια κατανάλωση κατέγραψε σημαντική μείωση. Ο εξωτερικός τομέας είχε αρνητική συμβολή στη μεταβολή του ΑΕΠ, καθώς υποχώρησαν σημαντικά οι εξαγωγές αγαθών και ταυτόχρονα αυξήθηκαν οι εισαγωγές αγαθών και υπηρεσιών.</w:t>
      </w:r>
    </w:p>
    <w:p>
      <w:pPr>
        <w:spacing w:before="120" w:after="24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Ο πληθωρισμός, όπως μετρείται από τον Εναρμονισμένο Δείκτη Τιμών Καταναλωτή (ΕνΔΤΚ), κατέγραψε μέσο ετήσιο ρυθμό 4,2% το 2023, έναντι 9,3% το 2022. Η έντονη αποκλιμάκωση αποδίδεται αποκλειστικά και μόνο στην ενεργειακή συνιστώσα. Σε αντίθεση με το γενικό πληθωρισμό, ο πυρήνας του πληθωρισμού (ΕνΔΤΚ χωρίς τα μη επεξεργασμένα είδη διατροφής και την ενέργεια) ενισχύθηκε στο 6,2% το 2023 από 5,7% το 2022.  Κατά το διαθέσιμο πεντάμηνο του 2024 υπάρχει σημαντική αποκλιμάκωση του πληθωρισμού των ειδών διατροφής, των μη ενεργειακών βιομηχανικών αγαθών και των υπηρεσιών σε σύγκριση με τα αντίστοιχα μεγέθη του 2023. Επιπλέον, τα ενεργειακά αγαθά διατηρούνται σε αρνητικό έδαφος.</w:t>
      </w:r>
    </w:p>
    <w:p>
      <w:pPr>
        <w:spacing w:before="120" w:after="0" w:line="36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Χρηματοπιστωτικές εξελίξεις: Βελτίωση των χρηματοπιστωτικών συνθηκών</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Παρατηρείται σημαντική βελτίωση των συνθηκών χρηματοδότησης του Ελληνικού Δημοσίου και των τραπεζών από τις διεθνείς αγορές ομολόγων, καθώς και σημαντική άνοδος των τιμών των μετοχών. Σε αυτό έχει συμβάλει η επίδραση των προσδοκιών για περαιτέρω μειώσεις των επιτοκίων νομισματικής πολιτικής εντός του 2024, αλλά και η αναβάθμιση της κρατικής πιστοληπτικής αξιολόγησης στην επενδυτική κατηγορία. Επισημαίνεται σχετικά ότι οι εν λόγω αναβαθμίσεις της πιστοληπτικής αξιολόγησης έχουν συμβάλει στην ακόμη μεγαλύτερη αναλογικά μείωση των αποδόσεων των ελληνικών κρατικών ομολόγων. Ταυτόχρονα, λόγω της βελτίωσης του αξιόχρεου της ελληνικής οικονομίας, αλλά και των θετικών προοπτικών της, παρατηρείται σημαντικά αυξημένη συμμετοχή των επενδυτών στις νέες εκδόσεις ομολόγων του Ελληνικού Δημοσίου, γεγονός που επιφέρει συμπίεση του κόστους δανεισμού. </w:t>
      </w:r>
    </w:p>
    <w:p>
      <w:pPr>
        <w:spacing w:before="120" w:after="24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Παράλληλα, οι προοπτικές των πιστοληπτικών αξιολογήσεων των τραπεζών είναι θετικές, ενώ πραγματοποιήθηκαν ήδη οι πρώτες αναβαθμίσεις συστημικών τραπεζών στην επενδυτική κατηγορία. Έτσι, μειώνεται το κόστος δανεισμού των ελληνικών τραπεζών από τις διεθνείς αγορές, με σημαντικά οφέλη για τα καθαρά επιτοκιακά τους έσοδα. Οι αποδόσεις των ομολόγων των ελληνικών μη χρηματοπιστωτικών επιχειρήσεων δεν παρουσίασαν σημαντικές μεταβολές το 2023, καθώς τα οφέλη από τις διαδοχικές θετικές εξελίξεις στην πιστοληπτική αξιολόγηση των ελληνικών κρατικών ομολόγων αντιστάθμισαν σε μεγάλο βαθμό τις ανοδικές πιέσεις που άσκησαν οι αυξήσεις των βασικών επιτοκίων. </w:t>
      </w:r>
    </w:p>
    <w:p>
      <w:pPr>
        <w:spacing w:before="120" w:after="0" w:line="36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Τραπεζικός τομέας: Σταθεροποίηση των επιτοκίων, υποχώρηση των καταθέσεων και ενίσχυση της πιστωτικής επέκτασης προς τις μη χρηματοπιστωτικές επιχειρήσεις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Τα επιτόκια καταθέσεων προθεσμίας από το δ΄ τρίμηνο του 2023 σταμάτησαν να αυξάνονται και παρέμειναν κατ’ ουσίαν αμετάβλητα κατά το πρώτο τετράμηνο του 2024. Μετά από συνολική ετήσια αύξηση κατά 5,8 δισεκ. ευρώ το 2023,  τους τέσσερις πρώτους μήνες του 2024 το υπόλοιπο των καταθέσεων του ιδιωτικού τομέα κατέγραψε σωρευτική υποχώρηση κατά 4,2 δισεκ. ευρώ, η οποία ήταν εντονότερη σε σύγκριση με την αντίστοιχη περίοδο πέρυσι, και διαμορφώθηκε σε 190,7 δισεκ. ευρώ τον Απρίλιο του 2024.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To </w:t>
      </w:r>
      <w:r>
        <w:rPr>
          <w:rFonts w:ascii="Arial" w:hAnsi="Arial" w:cs="Arial" w:eastAsia="Arial"/>
          <w:color w:val="000000"/>
          <w:spacing w:val="0"/>
          <w:position w:val="0"/>
          <w:sz w:val="22"/>
          <w:shd w:fill="auto" w:val="clear"/>
        </w:rPr>
        <w:t xml:space="preserve">μεσοσταθμικό κόστος τραπεζικού δανεισμού των μη χρηματοπιστωτικών επιχειρήσεων (ΜΧΕ) έχει σταθεροποιηθεί σε ιστορικά υψηλά επίπεδα δεκαετίας, με διαφοροποιήσεις μεταξύ των επιμέρους κατηγοριών δανείων, καθώς σε κάποιες κατηγορίες δανείων έχουν παρατηρηθεί μειώσεις (π.χ. στα επιχειρηματικά δάνεια ύψους έως 250.000 ευρώ). To μεσοσταθμικό κόστος τραπεζικού δανεισμού των νοικοκυριών παρουσίασε άνοδο κατά το 2023, αλλά μετά τις αρχές του τρέχοντος έτους υποχώρησε ελαφρά. </w:t>
      </w:r>
    </w:p>
    <w:p>
      <w:pPr>
        <w:spacing w:before="120" w:after="24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Ο ετήσιος ρυθμός ανόδου των τραπεζικών πιστώσεων προς τις ΜΧΕ, παρά την επιβράδυνση που εμφάνισε, διατηρήθηκε αρκετά υψηλός μέχρι το τέλος του 2023 και ενισχύθηκε το πρώτο τετράμηνο του 2024. Οι εκταμιεύσεις επιχειρηματικών δανείων που συνδέονται με τα χρηματοδοτικά εργαλεία του Ομίλου της Ευρωπαϊκής Τράπεζας Επενδύσεων (ΕΤΕπ) και της Ελληνικής Αναπτυξιακής Τράπεζας (ΕΑΤ) αλλά και με το Μηχανισμό Ανάκαμψης και Ανθεκτικότητας (RRF) αντιπροσωπεύουν το 20% περίπου των νέων δανείων καθορισμένης διάρκειας  προς ΜΧΕ για το πρώτο τετράμηνο του 2024.</w:t>
      </w:r>
    </w:p>
    <w:p>
      <w:pPr>
        <w:spacing w:before="120" w:after="0" w:line="36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Τραπεζικό σύστημα: Βελτίωση της κερδοφορίας, αύξηση της κεφαλαιακής επάρκειας και άνοδος των μη εξυπηρετούμενων δανείων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καλή επίδοση της ελληνικής οικονομίας και η αναβάθμιση της πιστοληπτικής αξιολόγησης της Ελλάδος στην επενδυτική κατηγορία το 2023 είχαν θετικές επιδράσεις στο ελληνικό τραπεζικό σύστημα. Ήδη φέτος πραγματοποιήθηκαν δύο αναβαθμίσεις ελληνικών συστημικών τραπεζών στην επενδυτική κατηγορία. Αναμένεται να ακολουθήσουν και άλλες αναβαθμίσεις, καθώς οι οίκοι πιστοληπτικής αξιολόγησης έχουν μεταβάλει σε θετικές τις προοπτικές των ελληνικών συστημικών τραπεζών. Στο ευνοϊκό αυτό περιβάλλον, ο ελληνικός τραπεζικός τομέας το 2023 και το α΄ τρίμηνο του 2024 ενίσχυσε τους δείκτες κερδοφορίας, ρευστότητας και κεφαλαιακής επάρκειας, εν μέσω υψηλών βασικών επιτοκίων και ευνοϊκών εγχώριων οικονομικών συνθηκών. </w:t>
      </w:r>
    </w:p>
    <w:p>
      <w:pPr>
        <w:spacing w:before="120" w:after="24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κερδοφορία των ελληνικών τραπεζών βελτιώθηκε, λόγω αύξησης της οργανικής κερδοφορίας, με το σύνολο των καθαρών εσόδων από τόκους και προμήθειες να ενισχύεται σημαντικά, ενώ η αύξηση των λειτουργικών εξόδων ήταν πιο ήπια και οι προβλέψεις για τον πιστωτικό κίνδυνο δεν παρουσίασαν ουσιαστικές μεταβολές. Οι δείκτες κεφαλαιακής επάρκειας των ελληνικών τραπεζών αυξήθηκαν το Δεκέμβριο του 2023 σε σχέση με το τέλος του 2022 καθώς και το α΄ τρίμηνο του 2024, κυρίως λόγω αύξησης της οργανικής κερδοφορίας και έκδοσης τίτλων που προσμετρούνται στην κεφαλαιακή επάρκεια. Το α΄ τρίμηνο του 2024 η ποιότητα του δανειακού χαρτοφυλακίου των ελληνικών τραπεζών επιδεινώθηκε, κυρίως εξαιτίας της αναγνώρισης ως μη εξυπηρετούμενων δανείων που είχαν την εγγύηση του Ελληνικού Δημοσίου. </w:t>
      </w:r>
    </w:p>
    <w:p>
      <w:pPr>
        <w:spacing w:before="120" w:after="0" w:line="36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Προβλέψεις: Θετικές προοπτικές για την οικονομική δραστηριότητα, τον πληθωρισμό και τα δημοσιονομικά μεγέθη</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Σύμφωνα με τις προβλέψεις της Τράπεζας της Ελλάδος, η αναπτυξιακή δυναμική της ελληνικής οικονομίας θα συνεχιστεί τα επόμενα χρόνια. Ο ρυθμός ανάπτυξης της ελληνικής οικονομίας αναμένεται να διαμορφωθεί σε 2,2% το 2024, να επιταχυνθεί σε 2,5% το 2025 και να υποχωρήσει ελαφρά σε 2,3% το 2026. Βασικές κινητήριες δυνάμεις της οικονομικής δραστηριότητας τα επόμενα έτη θα συνεχίσουν να είναι οι επενδύσεις, η ιδιωτική κατανάλωση και οι εξαγωγές, ενώ η συμβολή της δημόσιας κατανάλωσης αναμένεται οριακά αρνητική.</w:t>
      </w:r>
    </w:p>
    <w:p>
      <w:pPr>
        <w:spacing w:before="120" w:after="24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Ο πληθωρισμός, βάσει του ΕνΔΤΚ, αναμένεται να μειωθεί σημαντικά τα επόμενα έτη. Το 2024 αναμένεται να διαμορφωθεί σε 3,0%, από 4,2% το 2023, αντανακλώντας τη μεγάλη μείωση των τιμών των ενεργειακών αγαθών και την αποκλιμάκωση του πληθωρισμού των ειδών διατροφής. Μεσοπρόθεσμα ο πληθωρισμός εκτιμάται ότι θα συγκλίνει προς το στόχο της ΕΚΤ για 2%, αλλά θα παραμείνει ελαφρώς πάνω από αυτόν. Ο πληθωρισμός των υπηρεσιών αναμένεται να είναι ο πιο επίμονος σε σχέση με τον πληθωρισμό των λοιπών συνιστωσών, αντανακλώντας κυρίως τις αναμενόμενες αυξήσεις στις αμοιβές εργασίας. Ο πυρήνας του πληθωρισμού αναμένεται να μειωθεί σημαντικά σε 3,3% το 2024, και σε 2,4% το 2025, ως αποτέλεσμα της αποκλιμάκωσης κυρίως του πληθωρισμού των μη ενεργειακών βιομηχανικών αγαθών.</w:t>
      </w:r>
    </w:p>
    <w:p>
      <w:pPr>
        <w:spacing w:before="120" w:after="0" w:line="36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Κίνδυνοι και αβεβαιότητες: Αυξημένοι εγχώριοι και διεθνείς κίνδυνοι</w:t>
      </w:r>
    </w:p>
    <w:p>
      <w:pPr>
        <w:spacing w:before="120" w:after="24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Οι κίνδυνοι που περιβάλλουν τις προβλέψεις της Τράπεζας της Ελλάδος για την ανάπτυξη είναι κυρίως καθοδικοί. Αναλυτικότερα, κινδύνους για τις προοπτικές της ελληνικής οικονομίας αποτελούν: (α) τυχόν επιδείνωση της γεωπολιτικής κρίσης στην Ουκρανία και τη Μέση Ανατολή και οι συνεπαγόμενες επιπτώσεις στο διεθνές οικονομικό περιβάλλον, (β) ο χαμηλότερος του αναμενόμενου ρυθμός απορρόφησης και εκταμίευσης των κονδυλίων του RRF, (γ) ενδεχόμενες φυσικές καταστροφές που συνδέονται με τις επιπτώσεις της κλιματικής κρίσης, (δ) η εντεινόμενη στενότητα στην αγορά εργασίας και (ε) η καθυστέρηση υλοποίησης των μεταρρυθμίσεων, που θα επιβράδυνε τη διαδικασία ενίσχυσης της παραγωγικότητας της οικονομίας και της ανταγωνιστικότητας των επιχειρήσεων. Η ελληνική οικονομία θα επηρεαστεί θετικά σε περίπτωση που τα έσοδα από τον τουρισμό υπερβούν και πάλι  τις προσδοκίες.</w:t>
      </w:r>
    </w:p>
    <w:p>
      <w:pPr>
        <w:spacing w:before="120" w:after="0" w:line="36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Προκλήσεις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αποκλιμάκωση του πληθωρισμού: Η συνέχιση της αποκλιμάκωσης του γενικού πληθωρισμού και ιδιαίτερα του πληθωρισμού των ειδών διατροφής είναι βασική πρόκληση για την οικονομία και προϋποθέτει ενίσχυση των συνθηκών ανταγωνισμού στις αγορές προϊόντων. Οι διαρκώς αυξανόμενες, αν και με επιβραδυνόμενο ρυθμό, τιμές των τροφίμων έχουν σημαντικές επιπτώσεις στο εισόδημα των νοικοκυριών, αφού τα τρόφιμα κατατάσσονται στα αγαθά πρώτης ανάγκης, με ιδιαίτερα χαμηλή ελαστικότητα ζήτησης.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Υψηλό δημόσιο χρέος ως ποσοστό του ΑΕΠ</w:t>
      </w:r>
      <w:r>
        <w:rPr>
          <w:rFonts w:ascii="Arial" w:hAnsi="Arial" w:cs="Arial" w:eastAsia="Arial"/>
          <w:color w:val="000000"/>
          <w:spacing w:val="0"/>
          <w:position w:val="0"/>
          <w:sz w:val="22"/>
          <w:shd w:fill="auto" w:val="clear"/>
        </w:rPr>
        <w:t xml:space="preserve">: Tο δημόσιο χρέος ως ποσοστό του ΑΕΠ κινείται καθοδικά τα τελευταία χρόνια, ωστόσο εξακολουθεί να είναι το υψηλότερο της Ευρωπαϊκής Ένωσης (ΕΕ). Οι ευνοϊκοί όροι αποπληρωμής των υποχρεώσεων προς τον επίσημο τομέα παρέχουν μόνο ένα σημαντικό παράθυρο ευκαιρίας προκειμένου το δημόσιο χρέος να συνεχίσει να μειώνεται με ταχύ ρυθμό, κατά την περίοδο σταδιακής αναχρηματοδότησης των δανείων που χορηγήθηκαν στο πλαίσιο των προγραμμάτων προσαρμογής, με νέο δανεισμό σε όρους αγοράς.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Περαιτέρω βελτίωση των θεμελιωδών μεγεθών του τραπεζικού συστήματος και υψηλό ιδιωτικό χρέος</w:t>
      </w:r>
      <w:r>
        <w:rPr>
          <w:rFonts w:ascii="Arial" w:hAnsi="Arial" w:cs="Arial" w:eastAsia="Arial"/>
          <w:color w:val="000000"/>
          <w:spacing w:val="0"/>
          <w:position w:val="0"/>
          <w:sz w:val="22"/>
          <w:shd w:fill="auto" w:val="clear"/>
        </w:rPr>
        <w:t xml:space="preserve">: Παρά τη βελτίωση της κερδοφορίας και της κεφαλαιακής βάσης των τραπεζών, εξακολουθούν να υπάρχουν προκλήσεις που συνδέονται με τη δυνατότητα διατηρήσιμης κερδοφορίας μέσω αύξησης της χρηματοδότησης της οικονομίας όταν θα συνεχιστεί η χαλάρωση της νομισματικής πολιτικής. Παράλληλα, το μερίδιο των αναβαλλόμενων φορολογικών απαιτήσεων στο κεφάλαιο των τραπεζών εξακολουθεί να είναι υψηλό. Επιπρόσθετα, το συνολικό απόθεμα μη εξυπηρετούμενων δανείων εντός και εκτός του τραπεζικού συστήματος παραμένει σε υψηλά επίπεδα και επηρεάζει αρνητικά τη δυνατότητα νέου δανεισμού.</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Μεγάλο επενδυτικό κενό</w:t>
      </w:r>
      <w:r>
        <w:rPr>
          <w:rFonts w:ascii="Arial" w:hAnsi="Arial" w:cs="Arial" w:eastAsia="Arial"/>
          <w:color w:val="000000"/>
          <w:spacing w:val="0"/>
          <w:position w:val="0"/>
          <w:sz w:val="22"/>
          <w:shd w:fill="auto" w:val="clear"/>
        </w:rPr>
        <w:t xml:space="preserve">: To χαμηλό επίπεδο συσσώρευσης παραγωγικού κεφαλαίου αποτελεί σημαντικό εμπόδιο στην αύξηση της παραγωγικότητας και τη σύγκλιση με το μέσο όρο της ΕΕ. Ειδικότερα, από την κρίση δημόσιου χρέους και έπειτα οι επενδύσεις στην Ελλάδα ως ποσοστό του ΑΕΠ παρουσιάζουν σημαντική απόκλιση από το μέσο όρο της ΕΕ (14,3%, έναντι 22,0% στην ΕΕ το 2023). Με βάση πρόσφατη έρευνα της Ευρωπαϊκής Τράπεζας Επενδύσεων για το 2023, οι πιο σημαντικοί παράγοντες που είναι υπεύθυνοι για  τις χαμηλές επενδύσεις στην Ελλάδα ήταν η αβεβαιότητα για το μέλλον, το υψηλό ενεργειακό κόστος, η μη διαθεσιμότητα εξειδικευμένου προσωπικού, οι υπερβολικοί ρυθμιστικοί κανόνες και το υψηλό κόστος εξωτερικής χρηματοδότησης.</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Χρόνιες αδυναμίες στην αγορά εργασίας</w:t>
      </w:r>
      <w:r>
        <w:rPr>
          <w:rFonts w:ascii="Arial" w:hAnsi="Arial" w:cs="Arial" w:eastAsia="Arial"/>
          <w:color w:val="000000"/>
          <w:spacing w:val="0"/>
          <w:position w:val="0"/>
          <w:sz w:val="22"/>
          <w:shd w:fill="auto" w:val="clear"/>
        </w:rPr>
        <w:t xml:space="preserve">: Παρά την αισθητή μείωση της ανεργίας, το συνολικό  ποσοστό ανεργίας αλλά και τα ποσοστά ανεργίας των γυναικών και των νέων παραμένουν σημαντικά υψηλότερα του μέσου όρου της ΕΕ. Επιπλέον, παρατηρείται αναντιστοιχία μεταξύ ζητούμενων και προσφερόμενων θέσεων εργασίας, καθώς οι επιχειρήσεις δυσκολεύονται να βρουν κατάλληλους εργαζόμενους για να καλύψουν τις ανάγκες τους. Ταυτόχρονα, το ποσοστό συμμετοχής στο εργατικό δυναμικό, παρά την αύξηση των τελευταίων ετών, παραμένει χαμηλό σε σχέση με το μέσο όρο της ΕΕ, ιδίως στις ομάδες των γυναικών, των νέων και των ατόμων με αναπηρία (ΑμεΑ). Το χαμηλό ποσοστό συμμετοχής μπορεί να αποτελέσει τροχοπέδη στην περαιτέρω ανάπτυξη της ελληνικής οικονομίας, καθώς και στην κοινωνική συνοχή.</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Αρνητικό εξωτερικό ισοζύγιο και υψηλή αρνητική διεθνής επενδυτική θέση</w:t>
      </w:r>
      <w:r>
        <w:rPr>
          <w:rFonts w:ascii="Arial" w:hAnsi="Arial" w:cs="Arial" w:eastAsia="Arial"/>
          <w:color w:val="000000"/>
          <w:spacing w:val="0"/>
          <w:position w:val="0"/>
          <w:sz w:val="22"/>
          <w:shd w:fill="auto" w:val="clear"/>
        </w:rPr>
        <w:t xml:space="preserve">: Το έλλειμμα του ισοζυγίου τρεχουσών συναλλαγών, παρότι υποχώρησε το 2023, αναμένεται να παραμείνει σε επίπεδα άνω του 5% του ΑΕΠ μεσοπρόθεσμα, κυρίως εξαιτίας των αυξημένων εισαγωγών που συνδέονται με την υλοποίηση των επενδύσεων που σχετίζονται με τον RRF. Ως αποτέλεσμα, η καθαρή διεθνής επενδυτική θέση (ΔΕΘ) της χώρας, δηλαδή το συσσωρευμένο χρέος της προς το εξωτερικό, είναι αρνητική (περίπου στο -141% του ΑΕΠ), σε αντίθεση με άλλες χώρες της ζώνης του ευρώ με υψηλό δημόσιο χρέος οι οποίες στηρίζονται σε μεγάλο βαθμό σε εγχώριο δανεισμό.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Στενότητα στην αγορά κατοικίας</w:t>
      </w:r>
      <w:r>
        <w:rPr>
          <w:rFonts w:ascii="Arial" w:hAnsi="Arial" w:cs="Arial" w:eastAsia="Arial"/>
          <w:color w:val="000000"/>
          <w:spacing w:val="0"/>
          <w:position w:val="0"/>
          <w:sz w:val="22"/>
          <w:shd w:fill="auto" w:val="clear"/>
        </w:rPr>
        <w:t xml:space="preserve">: Η σημαντική και συνεχιζόμενη αύξηση των τιμών των ακινήτων, η οποία οδηγεί και σε άνοδο των ενοικίων, αποτελεί μια σημαντική πρόκληση για το μέσο νοικοκυριό, καθώς καθιστά απαγορευτική την απόκτηση  κατοικίας και αυξάνει σημαντικά το κόστος στέγασης, ειδικά για τα νέα ζευγάρια. Αυτό επιτείνει την κοινωνική ανισότητα, ενώ έχει αρνητικές προεκτάσεις και στον οικογενειακό προγραμματισμό, δυνητικά επηρεάζοντας δυσμενώς και το ποσοστό γεννήσεων.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Χαμηλή διαρθρωτική ανταγωνιστικότητα</w:t>
      </w:r>
      <w:r>
        <w:rPr>
          <w:rFonts w:ascii="Arial" w:hAnsi="Arial" w:cs="Arial" w:eastAsia="Arial"/>
          <w:color w:val="000000"/>
          <w:spacing w:val="0"/>
          <w:position w:val="0"/>
          <w:sz w:val="22"/>
          <w:shd w:fill="auto" w:val="clear"/>
        </w:rPr>
        <w:t xml:space="preserve">: Σε όρους διαρθρωτικής ανταγωνιστικότητας, η κατάταξη της Ελλάδος σε σύνθετους δείκτες παρουσιάζει βελτίωση το 2024, αλλά το επιχειρηματικό περιβάλλον εξακολουθεί να είναι λιγότερο ελκυστικό από ό,τι στις περισσότερες χώρες της ΕΕ. Ειδικότερα, η ταχύτητα απονομής της δικαιοσύνης, η γραφειοκρατία και η αναποτελεσματικότητα σε ορισμένους τομείς της δημόσιας διοίκησης (π.χ. στις μεταβιβάσεις ακινήτων, στην εκπόνηση χωροταξικών σχεδίων, στην ολοκλήρωση του Εθνικού Κτηματολογίου) παραμένουν σε χειρότερο επίπεδο συγκριτικά με άλλες χώρες της ΕΕ.</w:t>
      </w:r>
    </w:p>
    <w:p>
      <w:pPr>
        <w:spacing w:before="120" w:after="24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Μεσομακροπρόθεσμες προκλήσεις</w:t>
      </w:r>
      <w:r>
        <w:rPr>
          <w:rFonts w:ascii="Arial" w:hAnsi="Arial" w:cs="Arial" w:eastAsia="Arial"/>
          <w:color w:val="000000"/>
          <w:spacing w:val="0"/>
          <w:position w:val="0"/>
          <w:sz w:val="22"/>
          <w:shd w:fill="auto" w:val="clear"/>
        </w:rPr>
        <w:t xml:space="preserve">: Τέλος, σημαντικές μεσομακροπρόθεσμες προκλήσεις αποτελούν η γήρανση του πληθυσμού, η αντιμετώπιση της κλιματικής αλλαγής και η ενεργειακή μετάβαση. </w:t>
      </w:r>
    </w:p>
    <w:p>
      <w:pPr>
        <w:spacing w:before="120" w:after="0" w:line="36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Προτάσεις πολιτικής</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Λαμβάνοντας υπόψη τις αβεβαιότητες και τους κινδύνους που συνδέονται με το διεθνές οικονομικό περιβάλλον, τις προϋπάρχουσες αλλά και τις νέες προκλήσεις που αντιμετωπίζει η ελληνική οικονομία, όπως η πράσινη και ψηφιακή μετάβαση, η κλιματική κρίση και η αξιοποίηση της τεχνητής νοημοσύνης, είναι απαραίτητο η οικονομική πολιτική να μείνει προσηλωμένη στην υλοποίηση των αλλαγών που θα διασφαλίσουν την επιτάχυνση της οικονομικής μεγέθυνσης και την κοινωνική συνοχή.</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Για το σκοπό αυτό, προτείνονται οι παρακάτω δράσεις: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1</w:t>
      </w:r>
      <w:r>
        <w:rPr>
          <w:rFonts w:ascii="Arial" w:hAnsi="Arial" w:cs="Arial" w:eastAsia="Arial"/>
          <w:b/>
          <w:i/>
          <w:color w:val="000000"/>
          <w:spacing w:val="0"/>
          <w:position w:val="0"/>
          <w:sz w:val="22"/>
          <w:shd w:fill="auto" w:val="clear"/>
          <w:vertAlign w:val="superscript"/>
        </w:rPr>
        <w:t xml:space="preserve">ον</w:t>
      </w:r>
      <w:r>
        <w:rPr>
          <w:rFonts w:ascii="Arial" w:hAnsi="Arial" w:cs="Arial" w:eastAsia="Arial"/>
          <w:b/>
          <w:color w:val="000000"/>
          <w:spacing w:val="0"/>
          <w:position w:val="0"/>
          <w:sz w:val="22"/>
          <w:shd w:fill="auto" w:val="clear"/>
        </w:rPr>
        <w:t xml:space="preserve"> Η υλοποίηση πολιτικών που διασφαλίζουν τη διατηρήσιμη αποκλιμάκωση του πληθωρισμού, και ειδικά του πληθωρισμού των ειδών διατροφής και των υπηρεσιών</w:t>
      </w:r>
      <w:r>
        <w:rPr>
          <w:rFonts w:ascii="Arial" w:hAnsi="Arial" w:cs="Arial" w:eastAsia="Arial"/>
          <w:color w:val="000000"/>
          <w:spacing w:val="0"/>
          <w:position w:val="0"/>
          <w:sz w:val="22"/>
          <w:shd w:fill="auto" w:val="clear"/>
        </w:rPr>
        <w:t xml:space="preserve">, ο οποίος, παρότι ακολουθεί πλέον καθοδική τροχιά, παραμένει σε υψηλά επίπεδα. Στο πλαίσιο αυτό, η εγχώρια οικονομική πολιτική θα πρέπει να ασκείται με τρόπο που να υποστηρίζει την κοινή νομισματική πολιτική και να μην οδηγεί σε πληθωριστικές πιέσεις. Παράλληλα, τόσο οι αυξήσεις των τιμών των αγαθών και των υπηρεσιών όσο και οι μισθολογικές αυξήσεις θα πρέπει να είναι συνεπείς με το μεσοπρόθεσμο στόχο του πληθωρισμού. Bραχυπρόθεσμα θα πρέπει να ενταθούν οι έλεγχοι των αρμόδιων ελεγκτικών οργάνων ώστε να διασφαλιστεί η τήρηση του ανταγωνισμού και, όπου χρειάζεται, να επιβληθούν οι κατάλληλες διοικητικές κυρώσεις. Μεσοπρόθεσμα, απαιτείται η άρση των πάσης φύσεως εμποδίων στον ανταγωνισμό στις αγορές αγαθών και υπηρεσιών με κατάλληλες εθνικές και ευρωπαϊκές πρωτοβουλίες.</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2</w:t>
      </w:r>
      <w:r>
        <w:rPr>
          <w:rFonts w:ascii="Arial" w:hAnsi="Arial" w:cs="Arial" w:eastAsia="Arial"/>
          <w:b/>
          <w:i/>
          <w:color w:val="000000"/>
          <w:spacing w:val="0"/>
          <w:position w:val="0"/>
          <w:sz w:val="22"/>
          <w:shd w:fill="auto" w:val="clear"/>
          <w:vertAlign w:val="superscript"/>
        </w:rPr>
        <w:t xml:space="preserve">ον</w:t>
      </w:r>
      <w:r>
        <w:rPr>
          <w:rFonts w:ascii="Arial" w:hAnsi="Arial" w:cs="Arial" w:eastAsia="Arial"/>
          <w:b/>
          <w:color w:val="000000"/>
          <w:spacing w:val="0"/>
          <w:position w:val="0"/>
          <w:sz w:val="22"/>
          <w:shd w:fill="auto" w:val="clear"/>
        </w:rPr>
        <w:t xml:space="preserve"> Η έγκαιρη απορρόφηση και εκταμίευση των πόρων του RRF</w:t>
      </w:r>
      <w:r>
        <w:rPr>
          <w:rFonts w:ascii="Arial" w:hAnsi="Arial" w:cs="Arial" w:eastAsia="Arial"/>
          <w:color w:val="000000"/>
          <w:spacing w:val="0"/>
          <w:position w:val="0"/>
          <w:sz w:val="22"/>
          <w:shd w:fill="auto" w:val="clear"/>
        </w:rPr>
        <w:t xml:space="preserve"> προς τον ιδιωτικό τομέα είναι καθοριστικής σημασίας για την επίτευξη των προβλεπόμενων ρυθμών αύξησης των ακαθάριστων επενδύσεων πάγιου κεφαλαίου κατά την περίοδο 2024-2026.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3</w:t>
      </w:r>
      <w:r>
        <w:rPr>
          <w:rFonts w:ascii="Arial" w:hAnsi="Arial" w:cs="Arial" w:eastAsia="Arial"/>
          <w:b/>
          <w:i/>
          <w:color w:val="000000"/>
          <w:spacing w:val="0"/>
          <w:position w:val="0"/>
          <w:sz w:val="22"/>
          <w:shd w:fill="auto" w:val="clear"/>
          <w:vertAlign w:val="superscript"/>
        </w:rPr>
        <w:t xml:space="preserve">ον</w:t>
      </w:r>
      <w:r>
        <w:rPr>
          <w:rFonts w:ascii="Arial" w:hAnsi="Arial" w:cs="Arial" w:eastAsia="Arial"/>
          <w:b/>
          <w:color w:val="000000"/>
          <w:spacing w:val="0"/>
          <w:position w:val="0"/>
          <w:sz w:val="22"/>
          <w:shd w:fill="auto" w:val="clear"/>
        </w:rPr>
        <w:t xml:space="preserve"> Η εφαρμογή, κατά προτεραιότητα, των μεταρρυθμίσεων που αποσκοπούν στην εξάλειψη διαρθρωτικών αδυναμιών</w:t>
      </w:r>
      <w:r>
        <w:rPr>
          <w:rFonts w:ascii="Arial" w:hAnsi="Arial" w:cs="Arial" w:eastAsia="Arial"/>
          <w:color w:val="000000"/>
          <w:spacing w:val="0"/>
          <w:position w:val="0"/>
          <w:sz w:val="22"/>
          <w:shd w:fill="auto" w:val="clear"/>
        </w:rPr>
        <w:t xml:space="preserve">, όπως οι καθυστερήσεις στην απονομή της δικαιοσύνης, η γραφειοκρατία στη δημόσια διοίκηση και το έλλειμμα ψηφιακών δεξιοτήτων.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4</w:t>
      </w:r>
      <w:r>
        <w:rPr>
          <w:rFonts w:ascii="Arial" w:hAnsi="Arial" w:cs="Arial" w:eastAsia="Arial"/>
          <w:b/>
          <w:i/>
          <w:color w:val="000000"/>
          <w:spacing w:val="0"/>
          <w:position w:val="0"/>
          <w:sz w:val="22"/>
          <w:shd w:fill="auto" w:val="clear"/>
          <w:vertAlign w:val="superscript"/>
        </w:rPr>
        <w:t xml:space="preserve">ον</w:t>
      </w:r>
      <w:r>
        <w:rPr>
          <w:rFonts w:ascii="Arial" w:hAnsi="Arial" w:cs="Arial" w:eastAsia="Arial"/>
          <w:b/>
          <w:color w:val="000000"/>
          <w:spacing w:val="0"/>
          <w:position w:val="0"/>
          <w:sz w:val="22"/>
          <w:shd w:fill="auto" w:val="clear"/>
        </w:rPr>
        <w:t xml:space="preserve"> Η επίτευξη διατηρήσιμων πρωτογενών πλεονασμάτων μέσω μιας φιλικής προς την ανάπτυξη δημοσιονομικής πολιτικής</w:t>
      </w:r>
      <w:r>
        <w:rPr>
          <w:rFonts w:ascii="Arial" w:hAnsi="Arial" w:cs="Arial" w:eastAsia="Arial"/>
          <w:color w:val="000000"/>
          <w:spacing w:val="0"/>
          <w:position w:val="0"/>
          <w:sz w:val="22"/>
          <w:shd w:fill="auto" w:val="clear"/>
        </w:rPr>
        <w:t xml:space="preserve">. Προκειμένου να επιτευχθεί η απαιτούμενη αποκλιμάκωση του λόγου δημόσιου χρέους προς ΑΕΠ, είναι απαραίτητη η διατήρηση πρωτογενών πλεονασμάτων, σε κυκλικά διορθωμένους όρους, ύψους 2% του ΑΕΠ ετησίως. Ωστόσο, βασική προϋπόθεση για αυτό είναι η αύξηση της αποτελεσματικότητας των δημόσιων δαπανών, μέσω καλύτερης στόχευσης των κοινωνικών δαπανών, ώστε να αυξηθούν οι δημόσιες επενδύσεις και οι δαπάνες εκπαίδευσης και υγείας, οι οποίες έχουν ιδιαίτερα θετικές επιδράσεις στη μεσομακροπρόθεσμη αύξηση του πραγματικού ΑΕΠ. Ταυτόχρονα, θα πρέπει να δοθεί προτεραιότητα στη διεύρυνση της φορολογικής βάσης, μέσω της καταπολέμησης της φοροδιαφυγής.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5</w:t>
      </w:r>
      <w:r>
        <w:rPr>
          <w:rFonts w:ascii="Arial" w:hAnsi="Arial" w:cs="Arial" w:eastAsia="Arial"/>
          <w:b/>
          <w:i/>
          <w:color w:val="000000"/>
          <w:spacing w:val="0"/>
          <w:position w:val="0"/>
          <w:sz w:val="22"/>
          <w:shd w:fill="auto" w:val="clear"/>
          <w:vertAlign w:val="superscript"/>
        </w:rPr>
        <w:t xml:space="preserve">ον</w:t>
      </w:r>
      <w:r>
        <w:rPr>
          <w:rFonts w:ascii="Arial" w:hAnsi="Arial" w:cs="Arial" w:eastAsia="Arial"/>
          <w:b/>
          <w:color w:val="000000"/>
          <w:spacing w:val="0"/>
          <w:position w:val="0"/>
          <w:sz w:val="22"/>
          <w:shd w:fill="auto" w:val="clear"/>
        </w:rPr>
        <w:t xml:space="preserve"> Η περαιτέρω ενίσχυση της ανθεκτικότητας του τραπεζικού τομέα</w:t>
      </w:r>
      <w:r>
        <w:rPr>
          <w:rFonts w:ascii="Arial" w:hAnsi="Arial" w:cs="Arial" w:eastAsia="Arial"/>
          <w:color w:val="000000"/>
          <w:spacing w:val="0"/>
          <w:position w:val="0"/>
          <w:sz w:val="22"/>
          <w:shd w:fill="auto" w:val="clear"/>
        </w:rPr>
        <w:t xml:space="preserve">. Aπαιτείται περαιτέρω ενίσχυση της ανθεκτικότητας του τραπεζικού συστήματος, μεταξύ άλλων με την ποσοτική και ποιοτική βελτίωση της κεφαλαιακής βάσης των ελληνικών τραπεζών και την περαιτέρω μείωση των ΜΕΔ εντός και εκτός του τραπεζικού συστήματος. Εξάλλου, η αύξηση του ανταγωνισμού στο εγχώριο χρηματοπιστωτικό σύστημα με την ενδυνάμωση των μη συστημικών και συνεταιριστικών τραπεζών θα μπορούσε να βελτιώσει τις συνθήκες χρηματοδότησης της πραγματικής οικονομίας.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6</w:t>
      </w:r>
      <w:r>
        <w:rPr>
          <w:rFonts w:ascii="Arial" w:hAnsi="Arial" w:cs="Arial" w:eastAsia="Arial"/>
          <w:b/>
          <w:i/>
          <w:color w:val="000000"/>
          <w:spacing w:val="0"/>
          <w:position w:val="0"/>
          <w:sz w:val="22"/>
          <w:shd w:fill="auto" w:val="clear"/>
          <w:vertAlign w:val="superscript"/>
        </w:rPr>
        <w:t xml:space="preserve">ον</w:t>
      </w:r>
      <w:r>
        <w:rPr>
          <w:rFonts w:ascii="Arial" w:hAnsi="Arial" w:cs="Arial" w:eastAsia="Arial"/>
          <w:b/>
          <w:color w:val="000000"/>
          <w:spacing w:val="0"/>
          <w:position w:val="0"/>
          <w:sz w:val="22"/>
          <w:shd w:fill="auto" w:val="clear"/>
        </w:rPr>
        <w:t xml:space="preserve"> Η αντιμετώπιση των διαρθρωτικών προβλημάτων στην αγορά εργασίας</w:t>
      </w:r>
      <w:r>
        <w:rPr>
          <w:rFonts w:ascii="Arial" w:hAnsi="Arial" w:cs="Arial" w:eastAsia="Arial"/>
          <w:color w:val="000000"/>
          <w:spacing w:val="0"/>
          <w:position w:val="0"/>
          <w:sz w:val="22"/>
          <w:shd w:fill="auto" w:val="clear"/>
        </w:rPr>
        <w:t xml:space="preserve">. Σημαντικό ρόλο στη σύζευξη των αναγκών της αγοράς εργασίας με τις δεξιότητες των εργαζομένων έχει η εκπαίδευση, και ιδιαίτερα η τεχνική εκπαίδευση και η διά βίου μάθηση. Για να καλυφθεί το καίριο κενό εργατικού δυναμικού και δεξιοτήτων στην εγχώρια αγορά εργασίας, είναι σημαντική η ενσωμάτωση μεταναστών καθώς και η θέσπιση κινήτρων για την αντιστροφή  της εκροής προς το εξωτερικό εξειδικευμένων ατόμων(brain drain) και για την αύξηση της συμμετοχής των γυναικών, των νέων, των ατόμων με αναπηρία (ΑμεΑ) και των ατόμων της τρίτης ηλικίας και των συνταξιούχων στο εργατικό δυναμικό.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7</w:t>
      </w:r>
      <w:r>
        <w:rPr>
          <w:rFonts w:ascii="Arial" w:hAnsi="Arial" w:cs="Arial" w:eastAsia="Arial"/>
          <w:b/>
          <w:i/>
          <w:color w:val="000000"/>
          <w:spacing w:val="0"/>
          <w:position w:val="0"/>
          <w:sz w:val="22"/>
          <w:shd w:fill="auto" w:val="clear"/>
          <w:vertAlign w:val="superscript"/>
        </w:rPr>
        <w:t xml:space="preserve">ον</w:t>
      </w:r>
      <w:r>
        <w:rPr>
          <w:rFonts w:ascii="Arial" w:hAnsi="Arial" w:cs="Arial" w:eastAsia="Arial"/>
          <w:b/>
          <w:color w:val="000000"/>
          <w:spacing w:val="0"/>
          <w:position w:val="0"/>
          <w:sz w:val="22"/>
          <w:shd w:fill="auto" w:val="clear"/>
        </w:rPr>
        <w:t xml:space="preserve"> Υλοποίηση πολιτικών που αποσκοπούν στην αύξηση της αποταμίευσης των νοικοκυριών</w:t>
      </w:r>
      <w:r>
        <w:rPr>
          <w:rFonts w:ascii="Arial" w:hAnsi="Arial" w:cs="Arial" w:eastAsia="Arial"/>
          <w:color w:val="000000"/>
          <w:spacing w:val="0"/>
          <w:position w:val="0"/>
          <w:sz w:val="22"/>
          <w:shd w:fill="auto" w:val="clear"/>
        </w:rPr>
        <w:t xml:space="preserve">. Αυτές περιλαμβάνουν: (α) την ανάπτυξη της αγοράς κεφαλαίων, (β) την παροχή στοχευμένων φορολογικών κινήτρων έτσι ώστε να τονωθεί η αποταμίευση σε προϊόντα της κεφαλαιαγοράς, σε συνδυασμό με μέτρα για την προαγωγή του χρηματοοικονομικού αλφαβητισμού, (γ) την ενίσχυση του κεφαλαιοποιητικού χαρακτήρα του πρώτου πυλώνα του ασφαλιστικού συστήματος (κοινωνική ασφάλιση) και (δ) την ενίσχυση του τρίτου πυλώνα του ασφαλιστικού συστήματος (ιδιωτική ασφάλιση).</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8</w:t>
      </w:r>
      <w:r>
        <w:rPr>
          <w:rFonts w:ascii="Arial" w:hAnsi="Arial" w:cs="Arial" w:eastAsia="Arial"/>
          <w:b/>
          <w:i/>
          <w:color w:val="000000"/>
          <w:spacing w:val="0"/>
          <w:position w:val="0"/>
          <w:sz w:val="22"/>
          <w:shd w:fill="auto" w:val="clear"/>
          <w:vertAlign w:val="superscript"/>
        </w:rPr>
        <w:t xml:space="preserve">ον</w:t>
      </w:r>
      <w:r>
        <w:rPr>
          <w:rFonts w:ascii="Arial" w:hAnsi="Arial" w:cs="Arial" w:eastAsia="Arial"/>
          <w:b/>
          <w:color w:val="000000"/>
          <w:spacing w:val="0"/>
          <w:position w:val="0"/>
          <w:sz w:val="22"/>
          <w:shd w:fill="auto" w:val="clear"/>
        </w:rPr>
        <w:t xml:space="preserve">  Η προσέλκυση ξένων επενδυτικών κεφαλαίων</w:t>
      </w:r>
      <w:r>
        <w:rPr>
          <w:rFonts w:ascii="Arial" w:hAnsi="Arial" w:cs="Arial" w:eastAsia="Arial"/>
          <w:color w:val="000000"/>
          <w:spacing w:val="0"/>
          <w:position w:val="0"/>
          <w:sz w:val="22"/>
          <w:shd w:fill="auto" w:val="clear"/>
        </w:rPr>
        <w:t xml:space="preserve">. H υλοποίηση μεταρρυθμίσεων που βελτιώνουν το επιχειρηματικό περιβάλλον και τη λειτουργία του δημόσιου τομέα θα ενθαρρύνει την εισροή ξένων επενδυτικών κεφαλαίων. Τα κεφάλαια αυτά, εφόσον αφορούν ξένες άμεσες επενδύσεις και κατευθύνονται σε παραγωγικούς τομείς της οικονομίας, θα μπορούν όχι μόνο να χρηματοδοτήσουν την απόκλιση εγχώριων αποταμιεύσεων-επενδύσεων, αλλά και να βοηθήσουν στην αναβάθμιση του παραγωγικού δυναμικού της χώρας και στη διάχυση νέων τεχνολογιών και μορφών οργάνωσης της παραγωγής, με θετικές μεσομακροπρόθεσμες επιδράσεις στην ελληνική οικονομία.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9</w:t>
      </w:r>
      <w:r>
        <w:rPr>
          <w:rFonts w:ascii="Arial" w:hAnsi="Arial" w:cs="Arial" w:eastAsia="Arial"/>
          <w:b/>
          <w:i/>
          <w:color w:val="000000"/>
          <w:spacing w:val="0"/>
          <w:position w:val="0"/>
          <w:sz w:val="22"/>
          <w:shd w:fill="auto" w:val="clear"/>
          <w:vertAlign w:val="superscript"/>
        </w:rPr>
        <w:t xml:space="preserve">ον</w:t>
      </w:r>
      <w:r>
        <w:rPr>
          <w:rFonts w:ascii="Arial" w:hAnsi="Arial" w:cs="Arial" w:eastAsia="Arial"/>
          <w:b/>
          <w:color w:val="000000"/>
          <w:spacing w:val="0"/>
          <w:position w:val="0"/>
          <w:sz w:val="22"/>
          <w:shd w:fill="auto" w:val="clear"/>
        </w:rPr>
        <w:t xml:space="preserve"> Η διασφάλιση της πρόσβασης των πολιτών σε στέγαση με αποδεκτούς όρους</w:t>
      </w:r>
      <w:r>
        <w:rPr>
          <w:rFonts w:ascii="Arial" w:hAnsi="Arial" w:cs="Arial" w:eastAsia="Arial"/>
          <w:color w:val="000000"/>
          <w:spacing w:val="0"/>
          <w:position w:val="0"/>
          <w:sz w:val="22"/>
          <w:shd w:fill="auto" w:val="clear"/>
        </w:rPr>
        <w:t xml:space="preserve">. Κρίνεται αναγκαία η λήψη μέτρων για τη διευκόλυνση της απόκτησης κατοικίας και την ενίσχυση της προσφοράς προσιτής κατοικίας, ιδίως στα μεγάλα αστικά κέντρα με υψηλή πληθυσμιακή συγκέντρωση. </w:t>
      </w:r>
    </w:p>
    <w:p>
      <w:pPr>
        <w:spacing w:before="120" w:after="24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10</w:t>
      </w:r>
      <w:r>
        <w:rPr>
          <w:rFonts w:ascii="Arial" w:hAnsi="Arial" w:cs="Arial" w:eastAsia="Arial"/>
          <w:b/>
          <w:i/>
          <w:color w:val="000000"/>
          <w:spacing w:val="0"/>
          <w:position w:val="0"/>
          <w:sz w:val="22"/>
          <w:shd w:fill="auto" w:val="clear"/>
          <w:vertAlign w:val="superscript"/>
        </w:rPr>
        <w:t xml:space="preserve">ον</w:t>
      </w:r>
      <w:r>
        <w:rPr>
          <w:rFonts w:ascii="Arial" w:hAnsi="Arial" w:cs="Arial" w:eastAsia="Arial"/>
          <w:b/>
          <w:color w:val="000000"/>
          <w:spacing w:val="0"/>
          <w:position w:val="0"/>
          <w:sz w:val="22"/>
          <w:shd w:fill="auto" w:val="clear"/>
        </w:rPr>
        <w:t xml:space="preserve"> Προώθηση όλων των διαθέσιμων μορφών ιδιωτικής χρηματοδότησης των επενδύσεων</w:t>
      </w:r>
      <w:r>
        <w:rPr>
          <w:rFonts w:ascii="Arial" w:hAnsi="Arial" w:cs="Arial" w:eastAsia="Arial"/>
          <w:color w:val="000000"/>
          <w:spacing w:val="0"/>
          <w:position w:val="0"/>
          <w:sz w:val="22"/>
          <w:shd w:fill="auto" w:val="clear"/>
        </w:rPr>
        <w:t xml:space="preserve">, συμπεριλαμβανομένης της καλύτερης πρόσβασης στις κεφαλαιαγορές για την κάλυψη των επενδυτικών αναγκών των μικρομεσαίων επιχειρήσεων, ιδίως των νεοφυών και καινοτόμων, που δεν διαθέτουν επαρκή πάγια στοιχεία ενεργητικού ως εξασφαλίσεις για τη λήψη τραπεζικών δανείων και για την υλοποίηση των επενδυτικών τους προγραμμάτων.</w:t>
      </w:r>
    </w:p>
    <w:p>
      <w:pPr>
        <w:spacing w:before="120" w:after="0" w:line="360"/>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ελληνική οικονομία έχει σημειώσει αξιόλογη πρόοδο την τελευταία δεκαπενταετία, παρά τις διαρθρωτικές αδυναμίες που εξακολουθούν να υπάρχουν. Η πρόοδος αυτή αλλά και οι θετικές προοπτικές της οικονομίας για τα επόμενα χρόνια αντικατοπτρίζονται στην αναβάθμιση της πιστοληπτικής ικανότητας του Ελληνικού Δημοσίου στην επενδυτική κατηγορία. Ωστόσο, σε ένα διεθνές περιβάλλον που χαρακτηρίζεται από νέες αβεβαιότητες και γεωπολιτικές εντάσεις, καθώς και τεχνολογικές και περιβαλλοντικές προκλήσεις, δεν υπάρχει περιθώριο εφησυχασμού. Η οικονομική πολιτική θα πρέπει να συνεχίσει στον ίδιο δρόμο των μεταρρυθμίσεων, της αποτελεσματικής χρήσης των διαθέσιμων εγχώριων και ευρωπαϊκών πόρων για την αύξηση των επενδύσεων, και της δημοσιονομικής υπευθυνότητας. Η σημασία της δημοσιονομικής υπευθυνότητας αναδεικνύεται ακόμη περισσότερο μετά τις τελευταίες εξελίξεις στην αγορά κεφαλαίων και κρατικών ομολόγων της ζώνης του ευρώ, με τα περιθώρια (spreads) να αυξάνονται σημαντικά ακόμη και για κρατικά ομόλογα χωρών-μελών πολύ υψηλής πιστοληπτικής διαβάθμισης, επειδή οι αγορές τιμολογούν υψηλότερα τον κίνδυνο παραβίασης του ευρωπαϊκού δημοσιονομικού πλαισίου λήψης αποφάσεων.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Συνολικά, η υλοποίηση των παραπάνω προτάσεων θα συμβάλει στην ενίσχυση του δυνητικού ρυθμού ανάπτυξης, στη μετάβαση της οικονομίας σε ένα βιώσιμο, ανταγωνιστικό και εξωστρεφές παραγωγικό υπόδειγμα, καθώς και σε περαιτέρω αναβαθμίσεις των ελληνικών κρατικών ομολόγων.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120" w:after="0" w:line="360"/>
        <w:ind w:right="0" w:left="0" w:firstLine="0"/>
        <w:jc w:val="both"/>
        <w:rPr>
          <w:rFonts w:ascii="Arial" w:hAnsi="Arial" w:cs="Arial" w:eastAsia="Arial"/>
          <w:color w:val="000000"/>
          <w:spacing w:val="0"/>
          <w:position w:val="0"/>
          <w:sz w:val="22"/>
          <w:shd w:fill="auto" w:val="clear"/>
        </w:rPr>
      </w:pPr>
    </w:p>
    <w:p>
      <w:pPr>
        <w:spacing w:before="120" w:after="0" w:line="360"/>
        <w:ind w:right="0" w:left="0" w:firstLine="0"/>
        <w:jc w:val="both"/>
        <w:rPr>
          <w:rFonts w:ascii="Arial" w:hAnsi="Arial" w:cs="Arial" w:eastAsia="Arial"/>
          <w:color w:val="000000"/>
          <w:spacing w:val="0"/>
          <w:position w:val="0"/>
          <w:sz w:val="22"/>
          <w:shd w:fill="auto" w:val="clear"/>
        </w:rPr>
      </w:pP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Το πλήρες κείμενο της Έκθεσης είναι διαθέσιμο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εδώ</w:t>
        </w:r>
      </w:hyperlink>
      <w:r>
        <w:rPr>
          <w:rFonts w:ascii="Arial" w:hAnsi="Arial" w:cs="Arial" w:eastAsia="Arial"/>
          <w:color w:val="000000"/>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s://www.bankofgreece.gr/Publications/NomPol20232024.pdf" Id="docRId2" Type="http://schemas.openxmlformats.org/officeDocument/2006/relationships/hyperlink" /><Relationship Target="styles.xml" Id="docRId4" Type="http://schemas.openxmlformats.org/officeDocument/2006/relationships/styles" /></Relationships>
</file>